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8F" w:rsidRDefault="00D134E6">
      <w:pPr>
        <w:spacing w:before="168" w:after="100" w:line="200" w:lineRule="exact"/>
        <w:contextualSpacing/>
        <w:jc w:val="right"/>
        <w:textAlignment w:val="baseline"/>
        <w:rPr>
          <w:rFonts w:ascii="Arial" w:eastAsia="Arial" w:hAnsi="Arial"/>
          <w:b/>
          <w:color w:val="000000"/>
          <w:spacing w:val="24"/>
          <w:sz w:val="16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585470</wp:posOffset>
                </wp:positionV>
                <wp:extent cx="2115820" cy="487680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B1" w:rsidRDefault="0067448F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en-GB" w:eastAsia="zh-CN"/>
                              </w:rPr>
                              <w:drawing>
                                <wp:inline distT="0" distB="0" distL="0" distR="0">
                                  <wp:extent cx="2115820" cy="48768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582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3.1pt;margin-top:46.1pt;width:166.6pt;height:38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" filled="f" stroked="f">
                <v:textbox inset="0,0,0,0">
                  <w:txbxContent>
                    <w:p w:rsidR="009730B1" w:rsidRDefault="0067448F">
                      <w:pPr>
                        <w:textAlignment w:val="baseline"/>
                      </w:pPr>
                      <w:r>
                        <w:rPr>
                          <w:noProof/>
                          <w:lang w:val="en-GB" w:eastAsia="zh-CN"/>
                        </w:rPr>
                        <w:drawing>
                          <wp:inline distT="0" distB="0" distL="0" distR="0">
                            <wp:extent cx="2115820" cy="48768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5820" cy="48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448F">
        <w:rPr>
          <w:rFonts w:ascii="Arial" w:eastAsia="Arial" w:hAnsi="Arial"/>
          <w:b/>
          <w:color w:val="000000"/>
          <w:spacing w:val="24"/>
          <w:sz w:val="16"/>
        </w:rPr>
        <w:t xml:space="preserve">The Managers Thomas Miller Defence Ltd. </w:t>
      </w:r>
    </w:p>
    <w:p w:rsidR="009730B1" w:rsidRDefault="0067448F">
      <w:pPr>
        <w:spacing w:before="168" w:after="100" w:line="200" w:lineRule="exact"/>
        <w:contextualSpacing/>
        <w:jc w:val="right"/>
        <w:textAlignment w:val="baseline"/>
        <w:rPr>
          <w:rFonts w:ascii="Arial" w:eastAsia="Arial" w:hAnsi="Arial"/>
          <w:b/>
          <w:color w:val="000000"/>
          <w:spacing w:val="24"/>
          <w:sz w:val="16"/>
        </w:rPr>
      </w:pPr>
      <w:r>
        <w:rPr>
          <w:rFonts w:ascii="Arial" w:eastAsia="Arial" w:hAnsi="Arial"/>
          <w:b/>
          <w:color w:val="000000"/>
          <w:spacing w:val="24"/>
          <w:sz w:val="16"/>
        </w:rPr>
        <w:t>90 Fenchurch Street London EC3M 4ST</w:t>
      </w: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88"/>
        <w:gridCol w:w="413"/>
        <w:gridCol w:w="403"/>
        <w:gridCol w:w="456"/>
      </w:tblGrid>
      <w:tr w:rsidR="009730B1" w:rsidTr="00BF6741">
        <w:trPr>
          <w:gridBefore w:val="1"/>
          <w:wBefore w:w="709" w:type="dxa"/>
          <w:trHeight w:hRule="exact" w:val="293"/>
        </w:trPr>
        <w:tc>
          <w:tcPr>
            <w:tcW w:w="88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9730B1" w:rsidRDefault="0067448F">
            <w:pPr>
              <w:spacing w:before="115" w:line="172" w:lineRule="exact"/>
              <w:ind w:right="24"/>
              <w:jc w:val="right"/>
              <w:textAlignment w:val="baseline"/>
              <w:rPr>
                <w:rFonts w:ascii="Arial" w:eastAsia="Arial" w:hAnsi="Arial"/>
                <w:b/>
                <w:color w:val="777777"/>
                <w:sz w:val="16"/>
              </w:rPr>
            </w:pPr>
            <w:r>
              <w:rPr>
                <w:rFonts w:ascii="Arial" w:eastAsia="Arial" w:hAnsi="Arial"/>
                <w:b/>
                <w:color w:val="777777"/>
                <w:sz w:val="16"/>
              </w:rPr>
              <w:t>T +44</w:t>
            </w:r>
          </w:p>
        </w:tc>
        <w:tc>
          <w:tcPr>
            <w:tcW w:w="41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9730B1" w:rsidRDefault="0067448F">
            <w:pPr>
              <w:spacing w:before="115" w:line="172" w:lineRule="exact"/>
              <w:jc w:val="center"/>
              <w:textAlignment w:val="baseline"/>
              <w:rPr>
                <w:rFonts w:ascii="Arial" w:eastAsia="Arial" w:hAnsi="Arial"/>
                <w:b/>
                <w:color w:val="777777"/>
                <w:sz w:val="16"/>
              </w:rPr>
            </w:pPr>
            <w:r>
              <w:rPr>
                <w:rFonts w:ascii="Arial" w:eastAsia="Arial" w:hAnsi="Arial"/>
                <w:b/>
                <w:color w:val="777777"/>
                <w:sz w:val="16"/>
              </w:rPr>
              <w:t>(0)20</w:t>
            </w:r>
          </w:p>
        </w:tc>
        <w:tc>
          <w:tcPr>
            <w:tcW w:w="4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9730B1" w:rsidRDefault="0067448F">
            <w:pPr>
              <w:spacing w:before="115" w:line="172" w:lineRule="exact"/>
              <w:jc w:val="center"/>
              <w:textAlignment w:val="baseline"/>
              <w:rPr>
                <w:rFonts w:ascii="Arial" w:eastAsia="Arial" w:hAnsi="Arial"/>
                <w:b/>
                <w:color w:val="777777"/>
                <w:sz w:val="16"/>
              </w:rPr>
            </w:pPr>
            <w:r>
              <w:rPr>
                <w:rFonts w:ascii="Arial" w:eastAsia="Arial" w:hAnsi="Arial"/>
                <w:b/>
                <w:color w:val="777777"/>
                <w:sz w:val="16"/>
              </w:rPr>
              <w:t>7204</w:t>
            </w:r>
          </w:p>
        </w:tc>
        <w:tc>
          <w:tcPr>
            <w:tcW w:w="45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9730B1" w:rsidRDefault="0067448F">
            <w:pPr>
              <w:spacing w:before="115" w:line="172" w:lineRule="exact"/>
              <w:jc w:val="center"/>
              <w:textAlignment w:val="baseline"/>
              <w:rPr>
                <w:rFonts w:ascii="Arial" w:eastAsia="Arial" w:hAnsi="Arial"/>
                <w:b/>
                <w:color w:val="7E7E7E"/>
                <w:sz w:val="16"/>
              </w:rPr>
            </w:pPr>
            <w:r>
              <w:rPr>
                <w:rFonts w:ascii="Arial" w:eastAsia="Arial" w:hAnsi="Arial"/>
                <w:b/>
                <w:color w:val="7E7E7E"/>
                <w:sz w:val="16"/>
              </w:rPr>
              <w:t>2124</w:t>
            </w:r>
          </w:p>
        </w:tc>
      </w:tr>
      <w:tr w:rsidR="00BF6741" w:rsidRPr="00BF6741" w:rsidTr="00BF6741">
        <w:trPr>
          <w:trHeight w:hRule="exact" w:val="377"/>
        </w:trPr>
        <w:tc>
          <w:tcPr>
            <w:tcW w:w="2869" w:type="dxa"/>
            <w:gridSpan w:val="5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F6741" w:rsidRPr="00BF6741" w:rsidRDefault="00BF6741">
            <w:pPr>
              <w:spacing w:after="48" w:line="200" w:lineRule="exact"/>
              <w:jc w:val="center"/>
              <w:textAlignment w:val="baseline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  <w:r w:rsidRPr="00BF6741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mail.tmdefence@thomasmiller.com</w:t>
            </w:r>
          </w:p>
        </w:tc>
      </w:tr>
    </w:tbl>
    <w:p w:rsidR="009730B1" w:rsidRDefault="009730B1">
      <w:pPr>
        <w:spacing w:after="196" w:line="20" w:lineRule="exact"/>
      </w:pPr>
    </w:p>
    <w:p w:rsidR="009730B1" w:rsidRDefault="0067448F" w:rsidP="00D134E6">
      <w:pPr>
        <w:spacing w:before="2" w:after="278" w:line="268" w:lineRule="exact"/>
        <w:ind w:right="72"/>
        <w:jc w:val="right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rFonts w:ascii="Arial" w:eastAsia="Arial" w:hAnsi="Arial"/>
          <w:b/>
          <w:color w:val="000000"/>
          <w:spacing w:val="-4"/>
          <w:sz w:val="24"/>
        </w:rPr>
        <w:t>Ref:2021/</w:t>
      </w:r>
      <w:r w:rsidR="00BF6741">
        <w:rPr>
          <w:rFonts w:ascii="Arial" w:eastAsia="Arial" w:hAnsi="Arial"/>
          <w:b/>
          <w:color w:val="000000"/>
          <w:spacing w:val="-4"/>
          <w:sz w:val="24"/>
        </w:rPr>
        <w:t>3</w:t>
      </w:r>
    </w:p>
    <w:p w:rsidR="009730B1" w:rsidRDefault="009730B1">
      <w:pPr>
        <w:spacing w:before="2" w:after="278" w:line="268" w:lineRule="exact"/>
        <w:sectPr w:rsidR="009730B1">
          <w:pgSz w:w="11909" w:h="16838"/>
          <w:pgMar w:top="920" w:right="1171" w:bottom="1182" w:left="8578" w:header="720" w:footer="720" w:gutter="0"/>
          <w:cols w:space="720"/>
        </w:sectPr>
      </w:pPr>
    </w:p>
    <w:p w:rsidR="00E34C14" w:rsidRDefault="00E34C14">
      <w:pPr>
        <w:spacing w:before="2" w:line="268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E34C14" w:rsidRDefault="00E34C14">
      <w:pPr>
        <w:spacing w:before="2" w:line="268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9730B1" w:rsidRDefault="0067448F" w:rsidP="007A218F">
      <w:pPr>
        <w:spacing w:before="2" w:line="268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TO: ALL MEMBERS</w:t>
      </w:r>
    </w:p>
    <w:p w:rsidR="009730B1" w:rsidRDefault="00D134E6">
      <w:pPr>
        <w:spacing w:before="6" w:line="268" w:lineRule="exact"/>
        <w:ind w:left="72" w:right="216"/>
        <w:jc w:val="right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November</w:t>
      </w:r>
      <w:r w:rsidR="0067448F">
        <w:rPr>
          <w:rFonts w:ascii="Arial" w:eastAsia="Arial" w:hAnsi="Arial"/>
          <w:b/>
          <w:color w:val="000000"/>
          <w:spacing w:val="-2"/>
          <w:sz w:val="24"/>
        </w:rPr>
        <w:t>, 2021</w:t>
      </w:r>
    </w:p>
    <w:p w:rsidR="00E34C14" w:rsidRPr="00E34C14" w:rsidRDefault="00E34C14" w:rsidP="00E34C14">
      <w:pPr>
        <w:jc w:val="both"/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</w:pPr>
    </w:p>
    <w:p w:rsidR="00250951" w:rsidRPr="00250951" w:rsidRDefault="00250951" w:rsidP="00C02D58">
      <w:pPr>
        <w:jc w:val="both"/>
        <w:rPr>
          <w:rFonts w:asciiTheme="minorBidi" w:eastAsiaTheme="minorEastAsia" w:hAnsiTheme="minorBidi" w:cstheme="minorBidi"/>
          <w:b/>
          <w:bCs/>
          <w:color w:val="000000"/>
          <w:sz w:val="24"/>
          <w:szCs w:val="24"/>
          <w:lang w:val="en-GB" w:eastAsia="zh-CN"/>
        </w:rPr>
      </w:pPr>
      <w:r w:rsidRPr="00250951">
        <w:rPr>
          <w:rFonts w:asciiTheme="minorBidi" w:eastAsiaTheme="minorEastAsia" w:hAnsiTheme="minorBidi" w:cstheme="minorBidi"/>
          <w:b/>
          <w:bCs/>
          <w:color w:val="000000"/>
          <w:sz w:val="24"/>
          <w:szCs w:val="24"/>
          <w:lang w:val="en-GB" w:eastAsia="zh-CN"/>
        </w:rPr>
        <w:t>PREMIUM REQUIREMENTS FOR 2022/23 POLICY YEAR</w:t>
      </w:r>
    </w:p>
    <w:p w:rsidR="00250951" w:rsidRDefault="00250951" w:rsidP="00C02D58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</w:p>
    <w:p w:rsidR="00E34C14" w:rsidRPr="00E34C14" w:rsidRDefault="00E34C14" w:rsidP="00C02D58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The 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Club</w:t>
      </w:r>
      <w:r w:rsidR="008166E6"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’s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Directors met on the 18</w:t>
      </w:r>
      <w:r w:rsidR="00C02D58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th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November to consider future premium requirements. </w:t>
      </w:r>
    </w:p>
    <w:p w:rsidR="00E34C14" w:rsidRPr="00E34C14" w:rsidRDefault="00E34C14" w:rsidP="00E34C14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</w:p>
    <w:p w:rsidR="007A218F" w:rsidRDefault="00E34C14" w:rsidP="007A218F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As Members will be aware the 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Club</w:t>
      </w:r>
      <w:r w:rsidR="008166E6"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prides itself on providing cover which is not only 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market-leading</w:t>
      </w:r>
      <w:r w:rsidR="008166E6"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but also one which is consistent year on year, both in terms of the breadth of the cover that is offered, 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and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also in terms of its annual premium requirements. </w:t>
      </w:r>
      <w:r w:rsid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In addition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the 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Club</w:t>
      </w:r>
      <w:r w:rsidR="008166E6"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’s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continuity credit scheme h</w:t>
      </w:r>
      <w:bookmarkStart w:id="0" w:name="_GoBack"/>
      <w:bookmarkEnd w:id="0"/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as returned in excess of $10 million of capital to its Members. 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In addition,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the 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Club</w:t>
      </w:r>
      <w:r w:rsidR="008166E6"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</w:p>
    <w:p w:rsidR="007A218F" w:rsidRDefault="007A218F" w:rsidP="007A218F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</w:p>
    <w:p w:rsidR="007A218F" w:rsidRDefault="00E34C14" w:rsidP="007A218F">
      <w:pPr>
        <w:pStyle w:val="ListParagraph"/>
        <w:numPr>
          <w:ilvl w:val="0"/>
          <w:numId w:val="1"/>
        </w:num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  <w:r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does not impose mandatory deductibles</w:t>
      </w:r>
      <w:r w:rsidR="008166E6"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;</w:t>
      </w:r>
    </w:p>
    <w:p w:rsidR="007A218F" w:rsidRDefault="007A218F" w:rsidP="007A218F">
      <w:pPr>
        <w:pStyle w:val="ListParagraph"/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</w:p>
    <w:p w:rsidR="007A218F" w:rsidRDefault="00E34C14" w:rsidP="007A218F">
      <w:pPr>
        <w:pStyle w:val="ListParagraph"/>
        <w:numPr>
          <w:ilvl w:val="0"/>
          <w:numId w:val="1"/>
        </w:num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  <w:r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does </w:t>
      </w:r>
      <w:r w:rsidR="008166E6"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not </w:t>
      </w:r>
      <w:r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require release calls</w:t>
      </w:r>
      <w:r w:rsid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;</w:t>
      </w:r>
      <w:r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</w:p>
    <w:p w:rsidR="007A218F" w:rsidRDefault="007A218F" w:rsidP="007A218F">
      <w:pPr>
        <w:pStyle w:val="ListParagraph"/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</w:p>
    <w:p w:rsidR="007A218F" w:rsidRDefault="00E34C14" w:rsidP="007A218F">
      <w:pPr>
        <w:pStyle w:val="ListParagraph"/>
        <w:numPr>
          <w:ilvl w:val="0"/>
          <w:numId w:val="1"/>
        </w:num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  <w:r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nor does </w:t>
      </w:r>
      <w:r w:rsidR="008166E6"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it </w:t>
      </w:r>
      <w:r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insist on individual claim limits. </w:t>
      </w:r>
    </w:p>
    <w:p w:rsidR="007A218F" w:rsidRDefault="007A218F" w:rsidP="007A218F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</w:p>
    <w:p w:rsidR="00E34C14" w:rsidRPr="007A218F" w:rsidRDefault="00E34C14" w:rsidP="007A218F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  <w:r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This places the </w:t>
      </w:r>
      <w:r w:rsidR="008166E6"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Club </w:t>
      </w:r>
      <w:r w:rsidRPr="007A218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in a unique position when viewed across the competitive landscape.</w:t>
      </w:r>
    </w:p>
    <w:p w:rsidR="00E34C14" w:rsidRPr="00E34C14" w:rsidRDefault="00E34C14" w:rsidP="00E34C14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</w:p>
    <w:p w:rsidR="007A218F" w:rsidRDefault="008166E6" w:rsidP="00634AEF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  <w:r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In recent </w:t>
      </w:r>
      <w:r w:rsidR="00E34C14"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years the </w:t>
      </w:r>
      <w:r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Club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  <w:r w:rsidR="00E34C14"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has seen some upward movement in claims levels which in 2020 and beyond was driven largely by IMO sulphur related issues. Covid</w:t>
      </w:r>
      <w:r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-19</w:t>
      </w:r>
      <w:r w:rsidR="00E34C14"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disputes have not however, had any material bearing on the </w:t>
      </w:r>
      <w:r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Club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  <w:r w:rsidR="00E34C14"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either in terms of claims numbers or expenditure. </w:t>
      </w:r>
    </w:p>
    <w:p w:rsidR="007A218F" w:rsidRDefault="007A218F" w:rsidP="00634AEF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</w:p>
    <w:p w:rsidR="00E34C14" w:rsidRPr="00E34C14" w:rsidRDefault="00E34C14" w:rsidP="00634AEF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General charterparty related disputes continue to dominate the underlying claims picture 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as do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disputes relating 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to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MOA and newbu</w:t>
      </w:r>
      <w:r w:rsidR="00C522D5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i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lding contracts. The Managers provide 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extensive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advisory assistance to Members</w:t>
      </w:r>
      <w:r w:rsidR="00634AE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,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with over two thirds of all</w:t>
      </w:r>
      <w:r w:rsidR="00634AE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cases being handled in-house, however the C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lub </w:t>
      </w:r>
      <w:r w:rsidR="00634AE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does of course continue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to provide </w:t>
      </w:r>
      <w:r w:rsidR="00634AE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Members with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support</w:t>
      </w:r>
      <w:r w:rsidR="008166E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  <w:r w:rsidR="00634AE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for litigation </w:t>
      </w:r>
      <w:r w:rsidR="00634AEF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and related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costs if and when they arise.</w:t>
      </w:r>
    </w:p>
    <w:p w:rsidR="00E34C14" w:rsidRPr="00E34C14" w:rsidRDefault="00E34C14" w:rsidP="00E34C14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</w:p>
    <w:p w:rsidR="00C02D58" w:rsidRPr="00E34C14" w:rsidRDefault="00C02D58" w:rsidP="00250951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Inflation i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n claims costs i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s becoming more noticeable. The costs of arbitration or </w:t>
      </w:r>
      <w:r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ourt proceedings </w:t>
      </w:r>
      <w:r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are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significant irrespective of the jurisdiction where proceedings are taking place. 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Although t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he </w:t>
      </w:r>
      <w:r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Club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continues to promote the use of Alternative Billing Arrangements (“ABAs”) in order to provide greater certainty over the costs of litigation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, and while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the Directors would like to see </w:t>
      </w:r>
      <w:r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service providers using a 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greater </w:t>
      </w:r>
      <w:r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variety of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ABAs in the 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coming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years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, at the present time claims costs inflation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combined with a hardening reinsurance market, and a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n expectation of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higher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global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inflation</w:t>
      </w:r>
      <w:r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generally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, 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means that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combined loss ratios will almost certainly suffer as a result.</w:t>
      </w:r>
    </w:p>
    <w:p w:rsidR="00C02D58" w:rsidRDefault="00C02D58" w:rsidP="00A80267">
      <w:pPr>
        <w:jc w:val="both"/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</w:pPr>
    </w:p>
    <w:p w:rsidR="00E34C14" w:rsidRDefault="00E34C14" w:rsidP="00250951">
      <w:pPr>
        <w:jc w:val="both"/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</w:pP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lastRenderedPageBreak/>
        <w:t xml:space="preserve">The </w:t>
      </w:r>
      <w:r w:rsidR="000071C6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Club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currently maintains a strong level of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free reserves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.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Member</w:t>
      </w:r>
      <w:r w:rsidRPr="00E34C14">
        <w:rPr>
          <w:rFonts w:asciiTheme="minorBidi" w:eastAsiaTheme="minorEastAsia" w:hAnsiTheme="minorBidi" w:cstheme="minorBidi"/>
          <w:strike/>
          <w:sz w:val="24"/>
          <w:szCs w:val="24"/>
          <w:lang w:val="en-GB" w:eastAsia="zh-CN"/>
        </w:rPr>
        <w:t>s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will understand however, that it is essential that the Club’s underwriting base and combined ratio is maintained around breakeven levels over the medium term so that the </w:t>
      </w:r>
      <w:r w:rsidR="00A80267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Club</w:t>
      </w:r>
      <w:r w:rsidR="00A80267"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</w:t>
      </w:r>
      <w:r w:rsidR="00A80267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can maintain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its strong capital position rather than 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allowing it to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>deteriorate</w:t>
      </w:r>
      <w:r w:rsidR="00250951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. </w:t>
      </w:r>
      <w:r w:rsidRPr="00E34C14">
        <w:rPr>
          <w:rFonts w:asciiTheme="minorBidi" w:eastAsiaTheme="minorEastAsia" w:hAnsiTheme="minorBidi" w:cstheme="minorBidi"/>
          <w:color w:val="000000"/>
          <w:sz w:val="24"/>
          <w:szCs w:val="24"/>
          <w:lang w:val="en-GB" w:eastAsia="zh-CN"/>
        </w:rPr>
        <w:t xml:space="preserve"> In view of this the Directors have decided that a general increase in premium of 7.5% is necessary in order to achieve this aim. Premium adjustments will of course be subject to Members’ individual exposure and claims experience.</w:t>
      </w:r>
    </w:p>
    <w:p w:rsidR="00E34C14" w:rsidRDefault="00E34C14" w:rsidP="00E34C14">
      <w:pPr>
        <w:jc w:val="both"/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</w:pPr>
    </w:p>
    <w:p w:rsidR="00E34C14" w:rsidRPr="00E34C14" w:rsidRDefault="00E34C14" w:rsidP="001D1779">
      <w:pPr>
        <w:jc w:val="both"/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</w:pP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>With regard to continuity credits</w:t>
      </w:r>
      <w:r w:rsidR="00A80267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, 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 </w:t>
      </w:r>
      <w:r w:rsidR="00A80267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Members will recall that 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this programme </w:t>
      </w:r>
      <w:r w:rsidR="00A80267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>has operated successfully since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 2014. </w:t>
      </w:r>
      <w:r w:rsidR="00A80267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>It</w:t>
      </w:r>
      <w:r w:rsidR="00A80267"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 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has been </w:t>
      </w:r>
      <w:r w:rsidR="00A80267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allocated </w:t>
      </w:r>
      <w:r w:rsidR="00A80267"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 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between a full fleet credit of 2.5% for those Members entering their full fleet with the </w:t>
      </w:r>
      <w:r w:rsidR="00A80267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>Club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, </w:t>
      </w:r>
      <w:r w:rsidR="00A80267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>and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 a further amount depending on the </w:t>
      </w:r>
      <w:r w:rsidR="00A80267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>Club</w:t>
      </w:r>
      <w:r w:rsidR="00A80267"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’s 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>overall financial position</w:t>
      </w:r>
      <w:r w:rsidR="00A80267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 in any given year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. This latter distribution is determined annually in June and is then offset against the August premium instalment. The full fleet credit of 2.5% </w:t>
      </w:r>
      <w:r w:rsidR="00A80267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>will be</w:t>
      </w:r>
      <w:r w:rsidR="00A80267"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 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>maintained for the 2022/23 policy year</w:t>
      </w:r>
      <w:r w:rsidR="00A80267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 and 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is available immediately to any Member transferring tonnage to the </w:t>
      </w:r>
      <w:r w:rsidR="001D1779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>Club</w:t>
      </w:r>
      <w:r w:rsidR="001D1779"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 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at the 2022 renewal, where </w:t>
      </w:r>
      <w:r w:rsidR="001D1779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that transfer means that </w:t>
      </w:r>
      <w:r w:rsidRPr="00E34C14">
        <w:rPr>
          <w:rFonts w:asciiTheme="minorBidi" w:eastAsiaTheme="minorEastAsia" w:hAnsiTheme="minorBidi" w:cstheme="minorBidi"/>
          <w:sz w:val="24"/>
          <w:szCs w:val="24"/>
          <w:lang w:val="en-GB" w:eastAsia="zh-CN"/>
        </w:rPr>
        <w:t xml:space="preserve">a full fleet entry is achieved. </w:t>
      </w:r>
    </w:p>
    <w:p w:rsidR="0072189C" w:rsidRDefault="0072189C" w:rsidP="0072189C">
      <w:pPr>
        <w:spacing w:before="548" w:line="277" w:lineRule="exact"/>
        <w:ind w:left="72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Yours faithfully</w:t>
      </w:r>
    </w:p>
    <w:p w:rsidR="00E34C14" w:rsidRDefault="00E34C14" w:rsidP="00E34C14">
      <w:pPr>
        <w:jc w:val="center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THOMAS MILLER DEFENCE LTD. </w:t>
      </w:r>
      <w:r>
        <w:rPr>
          <w:rFonts w:ascii="Arial" w:eastAsia="Arial" w:hAnsi="Arial"/>
          <w:b/>
          <w:color w:val="000000"/>
          <w:sz w:val="24"/>
        </w:rPr>
        <w:br/>
      </w:r>
      <w:r>
        <w:rPr>
          <w:rFonts w:ascii="Arial" w:eastAsia="Arial" w:hAnsi="Arial"/>
          <w:color w:val="000000"/>
          <w:sz w:val="24"/>
        </w:rPr>
        <w:t>Managers</w:t>
      </w: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p w:rsidR="001D7C73" w:rsidRDefault="001D7C73" w:rsidP="00E34C14">
      <w:pPr>
        <w:jc w:val="center"/>
        <w:rPr>
          <w:rFonts w:ascii="Arial" w:eastAsia="Arial" w:hAnsi="Arial"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7409"/>
      </w:tblGrid>
      <w:tr w:rsidR="001D7C73" w:rsidTr="005F06E9">
        <w:trPr>
          <w:trHeight w:hRule="exact" w:val="1215"/>
        </w:trPr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C73" w:rsidRDefault="001D7C73" w:rsidP="005F06E9">
            <w:pPr>
              <w:spacing w:line="250" w:lineRule="exact"/>
              <w:textAlignment w:val="baseline"/>
              <w:rPr>
                <w:rFonts w:ascii="Arial Narrow" w:eastAsia="Arial Narrow" w:hAnsi="Arial Narrow"/>
                <w:color w:val="7F8180"/>
              </w:rPr>
            </w:pPr>
            <w:r>
              <w:rPr>
                <w:rFonts w:ascii="Arial Narrow" w:eastAsia="Arial Narrow" w:hAnsi="Arial Narrow"/>
                <w:color w:val="7F8180"/>
              </w:rPr>
              <w:t xml:space="preserve">UK DEFENCE </w:t>
            </w:r>
            <w:r>
              <w:rPr>
                <w:rFonts w:ascii="Arial Narrow" w:eastAsia="Arial Narrow" w:hAnsi="Arial Narrow"/>
                <w:color w:val="7F8180"/>
              </w:rPr>
              <w:br/>
              <w:t>CLUB</w:t>
            </w:r>
          </w:p>
          <w:p w:rsidR="001D7C73" w:rsidRDefault="001D7C73" w:rsidP="005F06E9">
            <w:pPr>
              <w:spacing w:line="233" w:lineRule="exact"/>
              <w:textAlignment w:val="baseline"/>
              <w:rPr>
                <w:rFonts w:ascii="Arial Narrow" w:eastAsia="Arial Narrow" w:hAnsi="Arial Narrow"/>
                <w:color w:val="7F8180"/>
              </w:rPr>
            </w:pPr>
            <w:r>
              <w:rPr>
                <w:rFonts w:ascii="Arial Narrow" w:eastAsia="Arial Narrow" w:hAnsi="Arial Narrow"/>
                <w:color w:val="7F8180"/>
              </w:rPr>
              <w:t xml:space="preserve">IS MANAGED </w:t>
            </w:r>
            <w:r>
              <w:rPr>
                <w:rFonts w:ascii="Arial Narrow" w:eastAsia="Arial Narrow" w:hAnsi="Arial Narrow"/>
                <w:color w:val="7F8180"/>
              </w:rPr>
              <w:br/>
              <w:t>BY</w:t>
            </w:r>
            <w:r>
              <w:rPr>
                <w:rFonts w:ascii="Arial Narrow" w:eastAsia="Arial Narrow" w:hAnsi="Arial Narrow"/>
                <w:b/>
                <w:color w:val="000000"/>
              </w:rPr>
              <w:t xml:space="preserve"> THOMAS </w:t>
            </w:r>
            <w:r>
              <w:rPr>
                <w:rFonts w:ascii="Arial Narrow" w:eastAsia="Arial Narrow" w:hAnsi="Arial Narrow"/>
                <w:b/>
                <w:color w:val="000000"/>
              </w:rPr>
              <w:br/>
              <w:t>MILLER</w:t>
            </w:r>
          </w:p>
        </w:tc>
        <w:tc>
          <w:tcPr>
            <w:tcW w:w="74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D7C73" w:rsidRDefault="001D7C73" w:rsidP="005F06E9">
            <w:pPr>
              <w:spacing w:before="264" w:line="183" w:lineRule="exact"/>
              <w:ind w:left="2016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The United Kingdom Freight Demurrage and Defence Association Limited. Registered in England No 501877. Registered office as above.</w:t>
            </w:r>
          </w:p>
          <w:p w:rsidR="001D7C73" w:rsidRDefault="001D7C73" w:rsidP="001D7C73">
            <w:pPr>
              <w:spacing w:before="182" w:after="202" w:line="187" w:lineRule="exact"/>
              <w:ind w:right="13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ThomasMiller Defence Ltd. Registered in England No 1901412. Registered office as above</w:t>
            </w:r>
          </w:p>
        </w:tc>
      </w:tr>
    </w:tbl>
    <w:p w:rsidR="001D7C73" w:rsidRDefault="001D7C73" w:rsidP="001D7C73">
      <w:pPr>
        <w:rPr>
          <w:rFonts w:ascii="Arial" w:eastAsia="Arial" w:hAnsi="Arial"/>
          <w:color w:val="000000"/>
          <w:sz w:val="24"/>
        </w:rPr>
      </w:pPr>
    </w:p>
    <w:sectPr w:rsidR="001D7C73">
      <w:type w:val="continuous"/>
      <w:pgSz w:w="11909" w:h="16838"/>
      <w:pgMar w:top="920" w:right="1085" w:bottom="1182" w:left="1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E6" w:rsidRDefault="00D134E6" w:rsidP="00D134E6">
      <w:r>
        <w:separator/>
      </w:r>
    </w:p>
  </w:endnote>
  <w:endnote w:type="continuationSeparator" w:id="0">
    <w:p w:rsidR="00D134E6" w:rsidRDefault="00D134E6" w:rsidP="00D1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E6" w:rsidRDefault="00D134E6" w:rsidP="00D134E6">
      <w:r>
        <w:separator/>
      </w:r>
    </w:p>
  </w:footnote>
  <w:footnote w:type="continuationSeparator" w:id="0">
    <w:p w:rsidR="00D134E6" w:rsidRDefault="00D134E6" w:rsidP="00D1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5C46"/>
    <w:multiLevelType w:val="hybridMultilevel"/>
    <w:tmpl w:val="77D4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B1"/>
    <w:rsid w:val="000071C6"/>
    <w:rsid w:val="001D1779"/>
    <w:rsid w:val="001D7C73"/>
    <w:rsid w:val="00250951"/>
    <w:rsid w:val="00617802"/>
    <w:rsid w:val="00634AEF"/>
    <w:rsid w:val="0067448F"/>
    <w:rsid w:val="0072189C"/>
    <w:rsid w:val="007A218F"/>
    <w:rsid w:val="008166E6"/>
    <w:rsid w:val="009730B1"/>
    <w:rsid w:val="00A80267"/>
    <w:rsid w:val="00BF6741"/>
    <w:rsid w:val="00C02D58"/>
    <w:rsid w:val="00C522D5"/>
    <w:rsid w:val="00D06420"/>
    <w:rsid w:val="00D134E6"/>
    <w:rsid w:val="00E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32F416"/>
  <w15:docId w15:val="{DA88B4F0-D964-452A-9875-F071E7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4E6"/>
  </w:style>
  <w:style w:type="paragraph" w:styleId="Footer">
    <w:name w:val="footer"/>
    <w:basedOn w:val="Normal"/>
    <w:link w:val="FooterChar"/>
    <w:uiPriority w:val="99"/>
    <w:unhideWhenUsed/>
    <w:rsid w:val="00D13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4E6"/>
  </w:style>
  <w:style w:type="paragraph" w:styleId="NoSpacing">
    <w:name w:val="No Spacing"/>
    <w:basedOn w:val="Normal"/>
    <w:uiPriority w:val="1"/>
    <w:qFormat/>
    <w:rsid w:val="00E34C14"/>
    <w:rPr>
      <w:rFonts w:ascii="Arial" w:eastAsiaTheme="minorEastAsia" w:hAnsi="Arial" w:cs="Arial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Makarona</dc:creator>
  <cp:lastModifiedBy>Author</cp:lastModifiedBy>
  <cp:revision>2</cp:revision>
  <dcterms:created xsi:type="dcterms:W3CDTF">2021-12-17T15:45:00Z</dcterms:created>
  <dcterms:modified xsi:type="dcterms:W3CDTF">2021-12-17T15:45:00Z</dcterms:modified>
</cp:coreProperties>
</file>